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第</w:t>
      </w:r>
      <w:r>
        <w:rPr>
          <w:rFonts w:hint="eastAsia"/>
          <w:b/>
          <w:bCs/>
          <w:sz w:val="32"/>
          <w:szCs w:val="40"/>
          <w:lang w:val="en-US" w:eastAsia="zh-CN"/>
        </w:rPr>
        <w:t>四</w:t>
      </w:r>
      <w:r>
        <w:rPr>
          <w:rFonts w:hint="eastAsia"/>
          <w:b/>
          <w:bCs/>
          <w:sz w:val="32"/>
          <w:szCs w:val="40"/>
        </w:rPr>
        <w:t>批国家林业重点龙头企业主要竹企业</w:t>
      </w:r>
    </w:p>
    <w:p>
      <w:pPr>
        <w:jc w:val="center"/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江西竹海农业发展有限公司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重庆沁旭熊猫雷笋股份有限公司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贵州省红赤水集团有限公司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杭州庄宜家具有限公司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福建省八一村永庆竹木业开发有限公司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福建龙泰竹家居股份有限公司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湖南风河竹木科技有限公司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宜宾纸业股份有限公司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四川环龙新材料有限公司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050D"/>
    <w:rsid w:val="131628FE"/>
    <w:rsid w:val="44134487"/>
    <w:rsid w:val="5B0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张力月</cp:lastModifiedBy>
  <dcterms:modified xsi:type="dcterms:W3CDTF">2019-12-06T06:25:02Z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